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Inter" w:cs="Inter" w:eastAsia="Inter" w:hAnsi="Inter"/>
        </w:rPr>
      </w:pPr>
      <w:bookmarkStart w:colFirst="0" w:colLast="0" w:name="_krj6t0myn486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Overview: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In this homework you will get more experience with logistic regression in two very different settings: creating leaderboards and predicting model responses. We will be taking real data from [LMArena](https://lmarena.ai/), a popular platform for crowsourcing evaluations of large language models and recreating their leaderboards, with a few fun extra steps along the way.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This homework consists of 2 parts:</w:t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Inter" w:cs="Inter" w:eastAsia="Inter" w:hAnsi="Inter"/>
          <w:color w:val="222222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1.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Paper Questions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that guide you how to read papers. Note that you don't need to read the papers to complete the first part of the coding homework. We will also have a tutorial in lecture this week on how to go through papers :)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Inter" w:cs="Inter" w:eastAsia="Inter" w:hAnsi="Inter"/>
          <w:b w:val="1"/>
          <w:bCs w:val="1"/>
          <w:color w:val="2222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If you hover to the title in the pdf, you will notice that it is hyperlinked to the relevant papers!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Inter" w:cs="Inter" w:eastAsia="Inter" w:hAnsi="Inter"/>
          <w:color w:val="222222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Chatbot Arena: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Paper:</w:t>
      </w:r>
      <w:hyperlink r:id="rId6">
        <w:r w:rsidDel="00000000" w:rsidR="00000000" w:rsidRPr="00000000">
          <w:rPr>
            <w:rFonts w:ascii="Inter" w:cs="Inter" w:eastAsia="Inter" w:hAnsi="Inter"/>
            <w:color w:val="222222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Inter" w:cs="Inter" w:eastAsia="Inter" w:hAnsi="Inter"/>
            <w:color w:val="0064c8"/>
            <w:rtl w:val="0"/>
          </w:rPr>
          <w:t xml:space="preserve">https://arxiv.org/abs/2403.04132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Platform:</w:t>
      </w:r>
      <w:hyperlink r:id="rId8">
        <w:r w:rsidDel="00000000" w:rsidR="00000000" w:rsidRPr="00000000">
          <w:rPr>
            <w:rFonts w:ascii="Inter" w:cs="Inter" w:eastAsia="Inter" w:hAnsi="Inter"/>
            <w:color w:val="222222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Inter" w:cs="Inter" w:eastAsia="Inter" w:hAnsi="Inter"/>
            <w:color w:val="0064c8"/>
            <w:rtl w:val="0"/>
          </w:rPr>
          <w:t xml:space="preserve">https://lmarena.ai/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Blog:</w:t>
      </w:r>
      <w:hyperlink r:id="rId10">
        <w:r w:rsidDel="00000000" w:rsidR="00000000" w:rsidRPr="00000000">
          <w:rPr>
            <w:rFonts w:ascii="Inter" w:cs="Inter" w:eastAsia="Inter" w:hAnsi="Inter"/>
            <w:color w:val="222222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Inter" w:cs="Inter" w:eastAsia="Inter" w:hAnsi="Inter"/>
            <w:color w:val="0064c8"/>
            <w:rtl w:val="0"/>
          </w:rPr>
          <w:t xml:space="preserve">https://news.lmarena.ai/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Inter" w:cs="Inter" w:eastAsia="Inter" w:hAnsi="Inter"/>
          <w:color w:val="222222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VibeCheck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Paper:</w:t>
      </w:r>
      <w:hyperlink r:id="rId12">
        <w:r w:rsidDel="00000000" w:rsidR="00000000" w:rsidRPr="00000000">
          <w:rPr>
            <w:rFonts w:ascii="Inter" w:cs="Inter" w:eastAsia="Inter" w:hAnsi="Inter"/>
            <w:color w:val="222222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Inter" w:cs="Inter" w:eastAsia="Inter" w:hAnsi="Inter"/>
            <w:color w:val="0064c8"/>
            <w:rtl w:val="0"/>
          </w:rPr>
          <w:t xml:space="preserve">https://arxiv.org/abs/2410.12851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ind w:left="72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Website:</w:t>
      </w:r>
      <w:hyperlink r:id="rId14">
        <w:r w:rsidDel="00000000" w:rsidR="00000000" w:rsidRPr="00000000">
          <w:rPr>
            <w:rFonts w:ascii="Inter" w:cs="Inter" w:eastAsia="Inter" w:hAnsi="Inter"/>
            <w:color w:val="222222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Inter" w:cs="Inter" w:eastAsia="Inter" w:hAnsi="Inter"/>
            <w:color w:val="0064c8"/>
            <w:rtl w:val="0"/>
          </w:rPr>
          <w:t xml:space="preserve">https://bench-mark.org/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2.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Coding (pt1 and 2):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applications of logistic regression and an intro to ML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Inter" w:cs="Inter" w:eastAsia="Inter" w:hAnsi="Inter"/>
        </w:rPr>
      </w:pPr>
      <w:bookmarkStart w:colFirst="0" w:colLast="0" w:name="_uyd7kjpq6x5o" w:id="1"/>
      <w:bookmarkEnd w:id="1"/>
      <w:r w:rsidDel="00000000" w:rsidR="00000000" w:rsidRPr="00000000">
        <w:rPr>
          <w:rFonts w:ascii="Inter" w:cs="Inter" w:eastAsia="Inter" w:hAnsi="Inter"/>
          <w:rtl w:val="0"/>
        </w:rPr>
        <w:t xml:space="preserve">Files: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Paper questions: paper_questions.pdf and paper_questions_solutions.pdf. The paper questions also provide where in the paper the question refers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Coding </w:t>
      </w:r>
      <w:r w:rsidDel="00000000" w:rsidR="00000000" w:rsidRPr="00000000">
        <w:rPr>
          <w:rFonts w:ascii="Inter" w:cs="Inter" w:eastAsia="Inter" w:hAnsi="Inter"/>
          <w:rtl w:val="0"/>
        </w:rPr>
        <w:t xml:space="preserve">Part 1 is located in the warmup folder, part 2 is located in the style control folder. These folders contain 2 subfolders generated by the otter autograder: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Autograder_solutions contains the autograder zip which can be uploaded to gradescope and the solution notebook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Student contains the student version of the notebook which can be run on colab</w:t>
      </w:r>
    </w:p>
    <w:p w:rsidR="00000000" w:rsidDel="00000000" w:rsidP="00000000" w:rsidRDefault="00000000" w:rsidRPr="00000000" w14:paraId="00000016">
      <w:pPr>
        <w:ind w:firstLine="72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Both of the coding parts implement sections from the two papers read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ews.lmarena.ai/" TargetMode="External"/><Relationship Id="rId10" Type="http://schemas.openxmlformats.org/officeDocument/2006/relationships/hyperlink" Target="https://news.lmarena.ai/" TargetMode="External"/><Relationship Id="rId13" Type="http://schemas.openxmlformats.org/officeDocument/2006/relationships/hyperlink" Target="https://arxiv.org/abs/2410.12851" TargetMode="External"/><Relationship Id="rId12" Type="http://schemas.openxmlformats.org/officeDocument/2006/relationships/hyperlink" Target="https://arxiv.org/abs/2410.1285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marena.ai/" TargetMode="External"/><Relationship Id="rId15" Type="http://schemas.openxmlformats.org/officeDocument/2006/relationships/hyperlink" Target="https://bench-mark.org/" TargetMode="External"/><Relationship Id="rId14" Type="http://schemas.openxmlformats.org/officeDocument/2006/relationships/hyperlink" Target="https://bench-mark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arxiv.org/abs/2403.04132" TargetMode="External"/><Relationship Id="rId7" Type="http://schemas.openxmlformats.org/officeDocument/2006/relationships/hyperlink" Target="https://arxiv.org/abs/2403.04132" TargetMode="External"/><Relationship Id="rId8" Type="http://schemas.openxmlformats.org/officeDocument/2006/relationships/hyperlink" Target="https://lmarena.a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